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B0" w:rsidRPr="00F0112A" w:rsidRDefault="003201B0" w:rsidP="00DE54FC">
      <w:pPr>
        <w:jc w:val="center"/>
        <w:rPr>
          <w:rFonts w:ascii="Times New Roman" w:hAnsi="Times New Roman"/>
          <w:b/>
          <w:sz w:val="26"/>
          <w:szCs w:val="26"/>
        </w:rPr>
      </w:pPr>
      <w:r w:rsidRPr="00F0112A">
        <w:rPr>
          <w:rFonts w:ascii="Times New Roman" w:hAnsi="Times New Roman"/>
          <w:b/>
          <w:sz w:val="26"/>
        </w:rPr>
        <w:t>Instrumento Europeo de Vecindad</w:t>
      </w:r>
    </w:p>
    <w:p w:rsidR="003201B0" w:rsidRPr="00F0112A" w:rsidRDefault="003201B0" w:rsidP="00A32DB8">
      <w:pPr>
        <w:jc w:val="center"/>
        <w:rPr>
          <w:rFonts w:ascii="Times New Roman" w:hAnsi="Times New Roman"/>
          <w:b/>
          <w:sz w:val="26"/>
          <w:szCs w:val="26"/>
        </w:rPr>
      </w:pPr>
      <w:r w:rsidRPr="00F0112A">
        <w:rPr>
          <w:rFonts w:ascii="Times New Roman" w:hAnsi="Times New Roman"/>
          <w:b/>
          <w:sz w:val="26"/>
        </w:rPr>
        <w:t>Resumen del Programa Indicativo Plurianual Regional Meridional 2018-2020</w:t>
      </w:r>
    </w:p>
    <w:p w:rsidR="003201B0" w:rsidRPr="00F0112A" w:rsidRDefault="003201B0">
      <w:pPr>
        <w:rPr>
          <w:rFonts w:ascii="Times New Roman" w:hAnsi="Times New Roman"/>
          <w:b/>
          <w:sz w:val="24"/>
          <w:u w:val="single"/>
        </w:rPr>
      </w:pPr>
      <w:r w:rsidRPr="00F0112A">
        <w:rPr>
          <w:rFonts w:ascii="Times New Roman" w:hAnsi="Times New Roman"/>
          <w:b/>
          <w:sz w:val="24"/>
          <w:u w:val="single"/>
        </w:rPr>
        <w:t>1. Objetivos estratégicos de la relación de la UE con la región</w:t>
      </w:r>
    </w:p>
    <w:p w:rsidR="003201B0" w:rsidRPr="00F0112A" w:rsidRDefault="003201B0" w:rsidP="00274357">
      <w:pPr>
        <w:spacing w:line="240" w:lineRule="auto"/>
        <w:jc w:val="both"/>
        <w:rPr>
          <w:rFonts w:ascii="Times New Roman" w:hAnsi="Times New Roman"/>
          <w:color w:val="000000"/>
          <w:sz w:val="24"/>
          <w:szCs w:val="24"/>
        </w:rPr>
      </w:pPr>
      <w:r w:rsidRPr="00F0112A">
        <w:rPr>
          <w:rFonts w:ascii="Times New Roman" w:hAnsi="Times New Roman"/>
          <w:sz w:val="24"/>
        </w:rPr>
        <w:t xml:space="preserve">El desarrollo de la resiliencia estatal y social, así como de la estabilización, representa el objetivo estratégico general de la relación de la UE con la región, tal y como se indica en la revisión de la política europea de vecindad (PEV) de 2015 y en la Estrategia Global de la UE de 2016. Si bien desde el punto de vista de la seguridad los esfuerzos se centrarán en ayudar a los países socios a ser más resilientes frente a las amenazas que les acechan actualmente, dichos esfuerzos se complementarán mediante una atención especial dedicada a mejorar el cumplimiento del Estado de Derecho, los derechos humanos y la buena gobernanza. El enfoque de la UE se centrará también en la consecución de un crecimiento inclusivo y sostenible, así como en la creación de empleo como una de las formas de obtener estabilidad. Asimismo, se hará especial hincapié en abordar los riesgos de conflictos violentos y otras presiones y factores estructurales como la migración, el cambio climático y la degradación del medio ambiente. </w:t>
      </w:r>
    </w:p>
    <w:p w:rsidR="003201B0" w:rsidRPr="00F0112A" w:rsidRDefault="003201B0" w:rsidP="00810952">
      <w:pPr>
        <w:rPr>
          <w:rFonts w:ascii="Times New Roman" w:hAnsi="Times New Roman"/>
          <w:b/>
          <w:sz w:val="24"/>
          <w:u w:val="single"/>
        </w:rPr>
      </w:pPr>
      <w:r w:rsidRPr="00F0112A">
        <w:rPr>
          <w:rFonts w:ascii="Times New Roman" w:hAnsi="Times New Roman"/>
          <w:b/>
          <w:sz w:val="24"/>
          <w:u w:val="single"/>
        </w:rPr>
        <w:t>2. Elección de los ámbitos de intervención</w:t>
      </w:r>
    </w:p>
    <w:p w:rsidR="003201B0" w:rsidRPr="00F0112A" w:rsidRDefault="003201B0" w:rsidP="00274357">
      <w:pPr>
        <w:spacing w:line="240" w:lineRule="auto"/>
        <w:jc w:val="both"/>
        <w:rPr>
          <w:rFonts w:ascii="Times New Roman" w:hAnsi="Times New Roman"/>
          <w:sz w:val="24"/>
        </w:rPr>
      </w:pPr>
      <w:r w:rsidRPr="00F0112A">
        <w:rPr>
          <w:rFonts w:ascii="Times New Roman" w:hAnsi="Times New Roman"/>
          <w:sz w:val="24"/>
        </w:rPr>
        <w:t xml:space="preserve">Los siguientes cuatro ámbitos prioritarios han sido sometidos a un proceso de consultas con las delegaciones de la UE, los Estados miembros (a través de su Representación Permanente ante la UE), los países socios (a través de su embajada en Bruselas) y la sociedad civil, tanto del norte como del sur. </w:t>
      </w:r>
    </w:p>
    <w:p w:rsidR="003201B0" w:rsidRPr="00F0112A" w:rsidRDefault="003201B0" w:rsidP="00810952">
      <w:pPr>
        <w:spacing w:after="60" w:line="240" w:lineRule="auto"/>
        <w:rPr>
          <w:rFonts w:ascii="Times New Roman" w:hAnsi="Times New Roman"/>
          <w:b/>
          <w:sz w:val="24"/>
        </w:rPr>
      </w:pPr>
      <w:r w:rsidRPr="00F0112A">
        <w:rPr>
          <w:rFonts w:ascii="Times New Roman" w:hAnsi="Times New Roman"/>
          <w:b/>
          <w:sz w:val="24"/>
        </w:rPr>
        <w:t>Ámbito 1: Desarrollo de la resiliencia y promoción de la estabilidad (20 % indicativo del presupuesto total)</w:t>
      </w:r>
    </w:p>
    <w:p w:rsidR="003201B0" w:rsidRPr="00F0112A" w:rsidRDefault="003201B0" w:rsidP="00B62679">
      <w:pPr>
        <w:spacing w:line="240" w:lineRule="auto"/>
        <w:jc w:val="both"/>
        <w:rPr>
          <w:rFonts w:ascii="Times New Roman" w:hAnsi="Times New Roman"/>
          <w:color w:val="000000"/>
          <w:sz w:val="24"/>
          <w:szCs w:val="24"/>
        </w:rPr>
      </w:pPr>
      <w:r w:rsidRPr="00F0112A">
        <w:rPr>
          <w:rFonts w:ascii="Times New Roman" w:hAnsi="Times New Roman"/>
          <w:sz w:val="24"/>
        </w:rPr>
        <w:t xml:space="preserve">El desarrollo de la resiliencia necesita de instituciones en las que los ciudadanos puedan confiar y, por tanto, está intrínsecamente ligado a la democracia, a la rendición de cuentas y al Estado de Derecho y, más en general, a la consolidación de sociedades abiertas y pluralistas. La respuesta a los retos en materia de seguridad combinará el refuerzo de la capacidad institucional con una fuerte política de comunicación con la sociedad civil y un énfasis en el nexo entre desarrollo y seguridad. </w:t>
      </w:r>
      <w:r w:rsidRPr="00F0112A">
        <w:rPr>
          <w:rFonts w:ascii="Times New Roman" w:hAnsi="Times New Roman"/>
          <w:color w:val="000000"/>
          <w:sz w:val="24"/>
        </w:rPr>
        <w:t xml:space="preserve">Se prestará una atención renovada a la prevención, ya sea contra el extremismo violento o contra las catástrofes naturales y de origen humano. </w:t>
      </w:r>
    </w:p>
    <w:p w:rsidR="003201B0" w:rsidRPr="00F0112A" w:rsidRDefault="003201B0" w:rsidP="00810952">
      <w:pPr>
        <w:spacing w:after="60" w:line="240" w:lineRule="auto"/>
        <w:rPr>
          <w:rFonts w:ascii="Times New Roman" w:hAnsi="Times New Roman"/>
          <w:b/>
          <w:sz w:val="24"/>
        </w:rPr>
      </w:pPr>
      <w:r w:rsidRPr="00F0112A">
        <w:rPr>
          <w:rFonts w:ascii="Times New Roman" w:hAnsi="Times New Roman"/>
          <w:b/>
          <w:sz w:val="24"/>
        </w:rPr>
        <w:t xml:space="preserve">Ámbito 2: Fomento de un desarrollo económico inclusivo y sostenible </w:t>
      </w:r>
    </w:p>
    <w:p w:rsidR="003201B0" w:rsidRPr="00F0112A" w:rsidRDefault="003201B0" w:rsidP="00B62679">
      <w:pPr>
        <w:spacing w:line="240" w:lineRule="auto"/>
        <w:jc w:val="both"/>
        <w:rPr>
          <w:rFonts w:ascii="Times New Roman" w:hAnsi="Times New Roman"/>
          <w:color w:val="000000"/>
          <w:sz w:val="24"/>
          <w:szCs w:val="24"/>
        </w:rPr>
      </w:pPr>
      <w:r w:rsidRPr="00F0112A">
        <w:rPr>
          <w:rFonts w:ascii="Times New Roman" w:hAnsi="Times New Roman"/>
          <w:color w:val="000000"/>
          <w:sz w:val="24"/>
        </w:rPr>
        <w:t>La existencia de un sector privado próspero y la creación de empleo son condiciones clave para crear sociedades estables y resilientes en la vecindad meridional. Existe una complementariedad mutua con los programas meramente nacionales, en tanto que la cooperación regional ofrece un valor añadido sometiendo a prueba nuevos enfoques en las políticas de la región basándose en las mejores prácticas de la UE, el desarrollo de redes y conexiones regionales, el fomento de la integración económica entre países y, en último término, el establecimiento de una zona de libre comercio en el Mediterráneo, contribuyendo así a los diálogos sectoriales pertinentes de la UPM.</w:t>
      </w:r>
    </w:p>
    <w:p w:rsidR="003201B0" w:rsidRPr="00F0112A" w:rsidRDefault="003201B0" w:rsidP="00A32DB8">
      <w:pPr>
        <w:spacing w:after="60" w:line="240" w:lineRule="auto"/>
        <w:rPr>
          <w:rFonts w:ascii="Times New Roman" w:hAnsi="Times New Roman"/>
          <w:b/>
          <w:sz w:val="24"/>
        </w:rPr>
      </w:pPr>
      <w:r w:rsidRPr="00F0112A">
        <w:rPr>
          <w:rFonts w:ascii="Times New Roman" w:hAnsi="Times New Roman"/>
          <w:b/>
          <w:sz w:val="24"/>
        </w:rPr>
        <w:t xml:space="preserve">Ámbito 3: Promoción de la conectividad y del uso sostenible de los recursos naturales </w:t>
      </w:r>
    </w:p>
    <w:p w:rsidR="003201B0" w:rsidRPr="00F0112A" w:rsidRDefault="003201B0" w:rsidP="00A32DB8">
      <w:pPr>
        <w:spacing w:line="240" w:lineRule="auto"/>
        <w:jc w:val="both"/>
        <w:rPr>
          <w:rFonts w:ascii="Times New Roman" w:hAnsi="Times New Roman"/>
          <w:color w:val="000000"/>
          <w:sz w:val="24"/>
          <w:szCs w:val="24"/>
        </w:rPr>
      </w:pPr>
      <w:r w:rsidRPr="00F0112A">
        <w:rPr>
          <w:rFonts w:ascii="Times New Roman" w:hAnsi="Times New Roman"/>
          <w:color w:val="000000"/>
          <w:sz w:val="24"/>
        </w:rPr>
        <w:t xml:space="preserve">El medio ambiente, la acción por el clima, la energía y los medios de transporte sostenibles son dimensiones interconectadas del desarrollo sostenible que constituyen el núcleo de las agendas comunes en fase de construcción en el marco de la Unión por el Mediterráneo. </w:t>
      </w:r>
    </w:p>
    <w:p w:rsidR="003201B0" w:rsidRPr="00F0112A" w:rsidRDefault="003201B0" w:rsidP="00810952">
      <w:pPr>
        <w:spacing w:after="60" w:line="240" w:lineRule="auto"/>
        <w:rPr>
          <w:rFonts w:ascii="Times New Roman" w:hAnsi="Times New Roman"/>
          <w:b/>
          <w:sz w:val="24"/>
        </w:rPr>
      </w:pPr>
      <w:r w:rsidRPr="00F0112A">
        <w:rPr>
          <w:rFonts w:ascii="Times New Roman" w:hAnsi="Times New Roman"/>
          <w:b/>
          <w:sz w:val="24"/>
        </w:rPr>
        <w:t xml:space="preserve">Ámbito 4: Apoyo al desarrollo de capacidades/consolidación institucional de los organismos regionales </w:t>
      </w:r>
    </w:p>
    <w:p w:rsidR="003201B0" w:rsidRPr="00F0112A" w:rsidRDefault="003201B0" w:rsidP="00A32DB8">
      <w:pPr>
        <w:jc w:val="both"/>
        <w:rPr>
          <w:rFonts w:ascii="Times New Roman" w:hAnsi="Times New Roman"/>
          <w:color w:val="000000"/>
          <w:sz w:val="24"/>
          <w:szCs w:val="24"/>
        </w:rPr>
      </w:pPr>
      <w:r w:rsidRPr="00F0112A">
        <w:rPr>
          <w:rFonts w:ascii="Times New Roman" w:hAnsi="Times New Roman"/>
          <w:color w:val="000000"/>
          <w:sz w:val="24"/>
        </w:rPr>
        <w:t xml:space="preserve">Los países vecinos meridionales constituyen, en muchos sentidos, la región menos integrada del planeta. </w:t>
      </w:r>
    </w:p>
    <w:p w:rsidR="003201B0" w:rsidRPr="00F0112A" w:rsidRDefault="003201B0" w:rsidP="00A32DB8">
      <w:pPr>
        <w:rPr>
          <w:rFonts w:ascii="Times New Roman" w:hAnsi="Times New Roman"/>
          <w:b/>
          <w:sz w:val="24"/>
          <w:u w:val="single"/>
        </w:rPr>
      </w:pPr>
      <w:r w:rsidRPr="00F0112A">
        <w:rPr>
          <w:rFonts w:ascii="Times New Roman" w:hAnsi="Times New Roman"/>
          <w:b/>
          <w:sz w:val="24"/>
          <w:u w:val="single"/>
        </w:rPr>
        <w:t>3. Apoyo de la UE por sectores</w:t>
      </w:r>
    </w:p>
    <w:p w:rsidR="003201B0" w:rsidRPr="00F0112A" w:rsidRDefault="003201B0" w:rsidP="00A32DB8">
      <w:pPr>
        <w:spacing w:line="240" w:lineRule="auto"/>
        <w:jc w:val="both"/>
        <w:rPr>
          <w:rFonts w:ascii="Times New Roman" w:hAnsi="Times New Roman"/>
          <w:color w:val="000000"/>
          <w:sz w:val="24"/>
          <w:szCs w:val="24"/>
        </w:rPr>
      </w:pPr>
      <w:r w:rsidRPr="00F0112A">
        <w:rPr>
          <w:rFonts w:ascii="Times New Roman" w:hAnsi="Times New Roman"/>
          <w:b/>
          <w:color w:val="000000"/>
          <w:sz w:val="24"/>
          <w:u w:val="single"/>
        </w:rPr>
        <w:t>Programas regionales</w:t>
      </w:r>
      <w:r w:rsidRPr="00F0112A">
        <w:rPr>
          <w:rFonts w:ascii="Times New Roman" w:hAnsi="Times New Roman"/>
          <w:color w:val="000000"/>
          <w:sz w:val="24"/>
        </w:rPr>
        <w:t xml:space="preserve">: la cooperación de la UE se implementará a través de programas regionales que adopten el enfoque </w:t>
      </w:r>
      <w:r w:rsidRPr="00F0112A">
        <w:rPr>
          <w:rFonts w:ascii="Times New Roman" w:hAnsi="Times New Roman"/>
          <w:b/>
          <w:color w:val="000000"/>
          <w:sz w:val="24"/>
        </w:rPr>
        <w:t>«menos numerosos, pero de mayor envergadura»</w:t>
      </w:r>
      <w:r w:rsidRPr="00F0112A">
        <w:rPr>
          <w:rFonts w:ascii="Times New Roman" w:hAnsi="Times New Roman"/>
          <w:color w:val="000000"/>
          <w:sz w:val="24"/>
        </w:rPr>
        <w:t xml:space="preserve">, incluidas las nuevas iniciativas </w:t>
      </w:r>
      <w:r w:rsidRPr="00F0112A">
        <w:rPr>
          <w:rFonts w:ascii="Times New Roman" w:hAnsi="Times New Roman"/>
          <w:b/>
          <w:color w:val="000000"/>
          <w:sz w:val="24"/>
        </w:rPr>
        <w:t>con marca de la UE</w:t>
      </w:r>
      <w:r w:rsidRPr="00F0112A">
        <w:rPr>
          <w:rFonts w:ascii="Times New Roman" w:hAnsi="Times New Roman"/>
          <w:color w:val="000000"/>
          <w:sz w:val="24"/>
        </w:rPr>
        <w:t xml:space="preserve">, en consonancia con las prioridades recogidas en las secciones 3.1 a 3.4. </w:t>
      </w:r>
    </w:p>
    <w:p w:rsidR="003201B0" w:rsidRPr="005B2D1F" w:rsidRDefault="003201B0" w:rsidP="0052524A">
      <w:pPr>
        <w:rPr>
          <w:rFonts w:ascii="Times New Roman" w:hAnsi="Times New Roman"/>
          <w:b/>
          <w:sz w:val="24"/>
          <w:u w:val="single"/>
        </w:rPr>
      </w:pPr>
      <w:r w:rsidRPr="00F0112A">
        <w:rPr>
          <w:rFonts w:ascii="Times New Roman" w:hAnsi="Times New Roman"/>
          <w:b/>
          <w:color w:val="000000"/>
          <w:sz w:val="24"/>
          <w:u w:val="single"/>
        </w:rPr>
        <w:t>Cuestiones transversales</w:t>
      </w:r>
      <w:r w:rsidRPr="00F0112A">
        <w:rPr>
          <w:rFonts w:ascii="Times New Roman" w:hAnsi="Times New Roman"/>
          <w:color w:val="000000"/>
          <w:sz w:val="24"/>
        </w:rPr>
        <w:t xml:space="preserve">: además de ser la destinataria de programas específicos, </w:t>
      </w:r>
      <w:r w:rsidRPr="00F0112A">
        <w:rPr>
          <w:rFonts w:ascii="Times New Roman" w:hAnsi="Times New Roman"/>
          <w:b/>
          <w:color w:val="000000"/>
          <w:sz w:val="24"/>
        </w:rPr>
        <w:t>la sociedad civil</w:t>
      </w:r>
      <w:r w:rsidRPr="00F0112A">
        <w:rPr>
          <w:rFonts w:ascii="Times New Roman" w:hAnsi="Times New Roman"/>
          <w:color w:val="000000"/>
          <w:sz w:val="24"/>
        </w:rPr>
        <w:t xml:space="preserve"> será socia de pleno derecho en todos los ámbitos y queda reconocida como una agente importante en materia de desarrollo y gobernanza. La </w:t>
      </w:r>
      <w:r w:rsidRPr="00F0112A">
        <w:rPr>
          <w:rFonts w:ascii="Times New Roman" w:hAnsi="Times New Roman"/>
          <w:b/>
          <w:color w:val="000000"/>
          <w:sz w:val="24"/>
        </w:rPr>
        <w:t>igualdad de género</w:t>
      </w:r>
      <w:r w:rsidRPr="00F0112A">
        <w:rPr>
          <w:rFonts w:ascii="Times New Roman" w:hAnsi="Times New Roman"/>
          <w:color w:val="000000"/>
          <w:sz w:val="24"/>
        </w:rPr>
        <w:t xml:space="preserve"> se integrará en todos los ámbitos, haciendo especial hincapié en garantizar el empoderamiento y la capacidad de acceso de las mujeres y niñas. Se adoptará un enfoque basado en los derechos en todas las intervenciones.</w:t>
      </w:r>
      <w:r>
        <w:rPr>
          <w:rFonts w:ascii="Times New Roman" w:hAnsi="Times New Roman"/>
          <w:color w:val="000000"/>
          <w:sz w:val="24"/>
        </w:rPr>
        <w:t xml:space="preserve"> </w:t>
      </w:r>
    </w:p>
    <w:sectPr w:rsidR="003201B0" w:rsidRPr="005B2D1F" w:rsidSect="00F0112A">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B0" w:rsidRDefault="003201B0" w:rsidP="005D4689">
      <w:pPr>
        <w:spacing w:after="0" w:line="240" w:lineRule="auto"/>
      </w:pPr>
      <w:r>
        <w:separator/>
      </w:r>
    </w:p>
  </w:endnote>
  <w:endnote w:type="continuationSeparator" w:id="0">
    <w:p w:rsidR="003201B0" w:rsidRDefault="003201B0" w:rsidP="005D4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B0" w:rsidRDefault="003201B0">
    <w:pPr>
      <w:pStyle w:val="Footer"/>
      <w:jc w:val="center"/>
    </w:pPr>
    <w:fldSimple w:instr=" PAGE   \* MERGEFORMAT ">
      <w:r>
        <w:rPr>
          <w:noProof/>
        </w:rPr>
        <w:t>1</w:t>
      </w:r>
    </w:fldSimple>
  </w:p>
  <w:p w:rsidR="003201B0" w:rsidRDefault="00320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B0" w:rsidRDefault="003201B0" w:rsidP="005D4689">
      <w:pPr>
        <w:spacing w:after="0" w:line="240" w:lineRule="auto"/>
      </w:pPr>
      <w:r>
        <w:separator/>
      </w:r>
    </w:p>
  </w:footnote>
  <w:footnote w:type="continuationSeparator" w:id="0">
    <w:p w:rsidR="003201B0" w:rsidRDefault="003201B0" w:rsidP="005D4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00A"/>
    <w:multiLevelType w:val="hybridMultilevel"/>
    <w:tmpl w:val="3E7A3240"/>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464DFB"/>
    <w:multiLevelType w:val="hybridMultilevel"/>
    <w:tmpl w:val="BE08EA58"/>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202BDB"/>
    <w:multiLevelType w:val="hybridMultilevel"/>
    <w:tmpl w:val="5A724518"/>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677C13"/>
    <w:rsid w:val="00040FA1"/>
    <w:rsid w:val="0005362B"/>
    <w:rsid w:val="00053F78"/>
    <w:rsid w:val="0008621F"/>
    <w:rsid w:val="00102107"/>
    <w:rsid w:val="00120FA8"/>
    <w:rsid w:val="0018404B"/>
    <w:rsid w:val="00217A4D"/>
    <w:rsid w:val="00274357"/>
    <w:rsid w:val="002A7291"/>
    <w:rsid w:val="002C325F"/>
    <w:rsid w:val="003201B0"/>
    <w:rsid w:val="00442A0B"/>
    <w:rsid w:val="004B065F"/>
    <w:rsid w:val="004C3913"/>
    <w:rsid w:val="0052524A"/>
    <w:rsid w:val="00533F59"/>
    <w:rsid w:val="00542AD0"/>
    <w:rsid w:val="005B2D1F"/>
    <w:rsid w:val="005D4689"/>
    <w:rsid w:val="00606A67"/>
    <w:rsid w:val="00635BB4"/>
    <w:rsid w:val="00643545"/>
    <w:rsid w:val="00677C13"/>
    <w:rsid w:val="00773619"/>
    <w:rsid w:val="007D2F31"/>
    <w:rsid w:val="00810952"/>
    <w:rsid w:val="0083166F"/>
    <w:rsid w:val="00833EC5"/>
    <w:rsid w:val="0099665F"/>
    <w:rsid w:val="009D5250"/>
    <w:rsid w:val="00A32DB8"/>
    <w:rsid w:val="00AF0224"/>
    <w:rsid w:val="00AF1BB5"/>
    <w:rsid w:val="00B43C87"/>
    <w:rsid w:val="00B62679"/>
    <w:rsid w:val="00B82E25"/>
    <w:rsid w:val="00BA60D9"/>
    <w:rsid w:val="00C47E0F"/>
    <w:rsid w:val="00C9708E"/>
    <w:rsid w:val="00D15B98"/>
    <w:rsid w:val="00D770A6"/>
    <w:rsid w:val="00D80C14"/>
    <w:rsid w:val="00DA76B6"/>
    <w:rsid w:val="00DC3BE1"/>
    <w:rsid w:val="00DE54FC"/>
    <w:rsid w:val="00F001B3"/>
    <w:rsid w:val="00F0112A"/>
    <w:rsid w:val="00F11F34"/>
    <w:rsid w:val="00F2293B"/>
    <w:rsid w:val="00F3780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5F"/>
    <w:pPr>
      <w:spacing w:after="200" w:line="276" w:lineRule="auto"/>
    </w:pPr>
    <w:rPr>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6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4689"/>
    <w:rPr>
      <w:rFonts w:cs="Times New Roman"/>
    </w:rPr>
  </w:style>
  <w:style w:type="paragraph" w:styleId="Footer">
    <w:name w:val="footer"/>
    <w:basedOn w:val="Normal"/>
    <w:link w:val="FooterChar"/>
    <w:uiPriority w:val="99"/>
    <w:rsid w:val="005D46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4689"/>
    <w:rPr>
      <w:rFonts w:cs="Times New Roman"/>
    </w:rPr>
  </w:style>
  <w:style w:type="paragraph" w:styleId="ListParagraph">
    <w:name w:val="List Paragraph"/>
    <w:basedOn w:val="Normal"/>
    <w:uiPriority w:val="99"/>
    <w:qFormat/>
    <w:rsid w:val="00533F59"/>
    <w:pPr>
      <w:ind w:left="720"/>
      <w:contextualSpacing/>
    </w:pPr>
  </w:style>
  <w:style w:type="character" w:styleId="CommentReference">
    <w:name w:val="annotation reference"/>
    <w:basedOn w:val="DefaultParagraphFont"/>
    <w:uiPriority w:val="99"/>
    <w:semiHidden/>
    <w:rsid w:val="004C3913"/>
    <w:rPr>
      <w:rFonts w:cs="Times New Roman"/>
      <w:sz w:val="16"/>
      <w:szCs w:val="16"/>
    </w:rPr>
  </w:style>
  <w:style w:type="paragraph" w:styleId="CommentText">
    <w:name w:val="annotation text"/>
    <w:basedOn w:val="Normal"/>
    <w:link w:val="CommentTextChar"/>
    <w:uiPriority w:val="99"/>
    <w:semiHidden/>
    <w:rsid w:val="004C39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3913"/>
    <w:rPr>
      <w:rFonts w:cs="Times New Roman"/>
      <w:sz w:val="20"/>
      <w:szCs w:val="20"/>
    </w:rPr>
  </w:style>
  <w:style w:type="paragraph" w:styleId="CommentSubject">
    <w:name w:val="annotation subject"/>
    <w:basedOn w:val="CommentText"/>
    <w:next w:val="CommentText"/>
    <w:link w:val="CommentSubjectChar"/>
    <w:uiPriority w:val="99"/>
    <w:semiHidden/>
    <w:rsid w:val="004C3913"/>
    <w:rPr>
      <w:b/>
      <w:bCs/>
    </w:rPr>
  </w:style>
  <w:style w:type="character" w:customStyle="1" w:styleId="CommentSubjectChar">
    <w:name w:val="Comment Subject Char"/>
    <w:basedOn w:val="CommentTextChar"/>
    <w:link w:val="CommentSubject"/>
    <w:uiPriority w:val="99"/>
    <w:semiHidden/>
    <w:locked/>
    <w:rsid w:val="004C3913"/>
    <w:rPr>
      <w:b/>
      <w:bCs/>
    </w:rPr>
  </w:style>
  <w:style w:type="paragraph" w:styleId="BalloonText">
    <w:name w:val="Balloon Text"/>
    <w:basedOn w:val="Normal"/>
    <w:link w:val="BalloonTextChar"/>
    <w:uiPriority w:val="99"/>
    <w:semiHidden/>
    <w:rsid w:val="004C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627</Words>
  <Characters>3762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Europeo de Vecindad</dc:title>
  <dc:subject/>
  <dc:creator>MODORAN Emma Herminia (EEAS)</dc:creator>
  <cp:keywords/>
  <dc:description/>
  <cp:lastModifiedBy>WPiA</cp:lastModifiedBy>
  <cp:revision>6</cp:revision>
  <dcterms:created xsi:type="dcterms:W3CDTF">2019-10-17T08:34:00Z</dcterms:created>
  <dcterms:modified xsi:type="dcterms:W3CDTF">2019-10-17T08:40:00Z</dcterms:modified>
</cp:coreProperties>
</file>