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2F" w:rsidRPr="004A187D" w:rsidRDefault="0025532F" w:rsidP="00DE54FC">
      <w:pPr>
        <w:jc w:val="center"/>
        <w:rPr>
          <w:rFonts w:ascii="Times New Roman" w:hAnsi="Times New Roman"/>
          <w:b/>
          <w:sz w:val="26"/>
          <w:szCs w:val="26"/>
        </w:rPr>
      </w:pPr>
      <w:r w:rsidRPr="004A187D">
        <w:rPr>
          <w:rFonts w:ascii="Times New Roman" w:hAnsi="Times New Roman"/>
          <w:b/>
          <w:sz w:val="26"/>
        </w:rPr>
        <w:t>Instrument européen de voisinage</w:t>
      </w:r>
    </w:p>
    <w:p w:rsidR="0025532F" w:rsidRPr="004A187D" w:rsidRDefault="0025532F" w:rsidP="009B1248">
      <w:pPr>
        <w:jc w:val="center"/>
        <w:rPr>
          <w:rFonts w:ascii="Times New Roman" w:hAnsi="Times New Roman"/>
          <w:b/>
          <w:sz w:val="26"/>
          <w:szCs w:val="26"/>
        </w:rPr>
      </w:pPr>
      <w:r w:rsidRPr="004A187D">
        <w:rPr>
          <w:rFonts w:ascii="Times New Roman" w:hAnsi="Times New Roman"/>
          <w:b/>
          <w:sz w:val="26"/>
        </w:rPr>
        <w:t>Résumé du programme indicatif pluriannuel 2018-2020 pour la région méridionale</w:t>
      </w:r>
    </w:p>
    <w:p w:rsidR="0025532F" w:rsidRPr="004A187D" w:rsidRDefault="0025532F">
      <w:pPr>
        <w:rPr>
          <w:rFonts w:ascii="Times New Roman" w:hAnsi="Times New Roman"/>
          <w:b/>
          <w:sz w:val="24"/>
          <w:u w:val="single"/>
        </w:rPr>
      </w:pPr>
      <w:r w:rsidRPr="004A187D">
        <w:rPr>
          <w:rFonts w:ascii="Times New Roman" w:hAnsi="Times New Roman"/>
          <w:b/>
          <w:sz w:val="24"/>
          <w:u w:val="single"/>
        </w:rPr>
        <w:t>1. Objectifs stratégiques des relations entre l’UE et la région</w:t>
      </w:r>
    </w:p>
    <w:p w:rsidR="0025532F" w:rsidRPr="004A187D" w:rsidRDefault="0025532F" w:rsidP="009B1248">
      <w:pPr>
        <w:spacing w:line="240" w:lineRule="auto"/>
        <w:jc w:val="both"/>
        <w:rPr>
          <w:rFonts w:ascii="Times New Roman" w:hAnsi="Times New Roman"/>
          <w:color w:val="000000"/>
          <w:sz w:val="24"/>
          <w:szCs w:val="24"/>
        </w:rPr>
      </w:pPr>
      <w:r w:rsidRPr="004A187D">
        <w:rPr>
          <w:rFonts w:ascii="Times New Roman" w:hAnsi="Times New Roman"/>
          <w:sz w:val="24"/>
        </w:rPr>
        <w:t xml:space="preserve">Le renforcement de la résilience de l’État et de la société constitue, avec leur stabilisation, l’objectif stratégique général des relations entre l’UE et la région, tel qu’il a été défini lors du réexamen de la politique européenne de voisinage (PEV) de 2015 et dans la stratégie globale de l’Union de 2016. Autant le volet «sécurité» s'attachera à aider les pays partenaires à mieux résister aux menaces qu’ils affrontent actuellement, autant il sera complété par une attention particulière pour l'amélioration du respect de l’état de droit, des droits de l’homme et de la bonne gouvernance. La démarche de l’UE visera également à atteindre une croissance inclusive et durable et à créer des emplois en vue de parvenir à la stabilité. Elle mettra aussi l’accent sur les mesures à prendre pour faire face aux risques de conflit violent et aux autres pressions et facteurs structurels tels que la migration, le changement climatique et la dégradation de l’environnement. </w:t>
      </w:r>
    </w:p>
    <w:p w:rsidR="0025532F" w:rsidRPr="004A187D" w:rsidRDefault="0025532F" w:rsidP="00810952">
      <w:pPr>
        <w:rPr>
          <w:rFonts w:ascii="Times New Roman" w:hAnsi="Times New Roman"/>
          <w:b/>
          <w:sz w:val="24"/>
          <w:u w:val="single"/>
        </w:rPr>
      </w:pPr>
      <w:r w:rsidRPr="004A187D">
        <w:rPr>
          <w:rFonts w:ascii="Times New Roman" w:hAnsi="Times New Roman"/>
          <w:b/>
          <w:sz w:val="24"/>
          <w:u w:val="single"/>
        </w:rPr>
        <w:t>2. Choix des secteurs d’intervention</w:t>
      </w:r>
    </w:p>
    <w:p w:rsidR="0025532F" w:rsidRPr="004A187D" w:rsidRDefault="0025532F" w:rsidP="009B1248">
      <w:pPr>
        <w:spacing w:line="240" w:lineRule="auto"/>
        <w:jc w:val="both"/>
        <w:rPr>
          <w:rFonts w:ascii="Times New Roman" w:hAnsi="Times New Roman"/>
          <w:sz w:val="24"/>
        </w:rPr>
      </w:pPr>
      <w:r w:rsidRPr="004A187D">
        <w:rPr>
          <w:rFonts w:ascii="Times New Roman" w:hAnsi="Times New Roman"/>
          <w:sz w:val="24"/>
        </w:rPr>
        <w:t xml:space="preserve">Les quatre secteurs prioritaires ci-après ont fait l’objet d'un processus de consultation avec les délégations de l’UE, les États membres (par l’intermédiaire de leur représentation permanente auprès de l’UE), les pays partenaires (par l’intermédiaire de leur ambassade à Bruxelles) et la société civile tant du nord que du sud. </w:t>
      </w:r>
    </w:p>
    <w:p w:rsidR="0025532F" w:rsidRPr="004A187D" w:rsidRDefault="0025532F" w:rsidP="00810952">
      <w:pPr>
        <w:spacing w:after="60" w:line="240" w:lineRule="auto"/>
        <w:rPr>
          <w:rFonts w:ascii="Times New Roman" w:hAnsi="Times New Roman"/>
          <w:b/>
          <w:sz w:val="24"/>
        </w:rPr>
      </w:pPr>
      <w:r w:rsidRPr="004A187D">
        <w:rPr>
          <w:rFonts w:ascii="Times New Roman" w:hAnsi="Times New Roman"/>
          <w:b/>
          <w:sz w:val="24"/>
        </w:rPr>
        <w:t>Secteur nº 1: renforcement de la résilience et promotion de la stabilité (part indicative de 20 % du budget total)</w:t>
      </w:r>
    </w:p>
    <w:p w:rsidR="0025532F" w:rsidRPr="004A187D" w:rsidRDefault="0025532F" w:rsidP="009B1248">
      <w:pPr>
        <w:spacing w:line="240" w:lineRule="auto"/>
        <w:jc w:val="both"/>
        <w:rPr>
          <w:rFonts w:ascii="Times New Roman" w:hAnsi="Times New Roman"/>
          <w:color w:val="000000"/>
          <w:sz w:val="24"/>
          <w:szCs w:val="24"/>
        </w:rPr>
      </w:pPr>
      <w:r w:rsidRPr="004A187D">
        <w:rPr>
          <w:rFonts w:ascii="Times New Roman" w:hAnsi="Times New Roman"/>
          <w:sz w:val="24"/>
        </w:rPr>
        <w:t xml:space="preserve">Le renforcement de la résilience exige des institutions en lesquelles les citoyens peuvent avoir confiance et est donc intrinsèquement lié à la démocratie, à l’obligation de rendre des comptes et à l’état de droit, ainsi que, plus largement, à la consolidation de sociétés ouvertes et pluralistes. La réponse aux problèmes de sécurité associera, d’une part, le renforcement de la capacité institutionnelle et, d'autre part, une politique forte d’ouverture à la société civile et une attention prioritaire pour l’interdépendance entre développement et sécurité. </w:t>
      </w:r>
      <w:r w:rsidRPr="004A187D">
        <w:rPr>
          <w:rFonts w:ascii="Times New Roman" w:hAnsi="Times New Roman"/>
          <w:color w:val="000000"/>
          <w:sz w:val="24"/>
        </w:rPr>
        <w:t xml:space="preserve">Un accent renouvelé sera mis sur la prévention, qu’il s'agisse de prévenir l’extrémisme violent ou les catastrophes d'origine naturelle ou humaine. </w:t>
      </w:r>
    </w:p>
    <w:p w:rsidR="0025532F" w:rsidRPr="004A187D" w:rsidRDefault="0025532F" w:rsidP="00810952">
      <w:pPr>
        <w:spacing w:after="60" w:line="240" w:lineRule="auto"/>
        <w:rPr>
          <w:rFonts w:ascii="Times New Roman" w:hAnsi="Times New Roman"/>
          <w:b/>
          <w:sz w:val="24"/>
        </w:rPr>
      </w:pPr>
      <w:r w:rsidRPr="004A187D">
        <w:rPr>
          <w:rFonts w:ascii="Times New Roman" w:hAnsi="Times New Roman"/>
          <w:b/>
          <w:sz w:val="24"/>
        </w:rPr>
        <w:t>Secteur nº 2: promotion d’un développement inclusif et durable</w:t>
      </w:r>
    </w:p>
    <w:p w:rsidR="0025532F" w:rsidRPr="004A187D" w:rsidRDefault="0025532F" w:rsidP="00EB67AF">
      <w:pPr>
        <w:spacing w:line="240" w:lineRule="auto"/>
        <w:jc w:val="both"/>
        <w:rPr>
          <w:rFonts w:ascii="Times New Roman" w:hAnsi="Times New Roman"/>
          <w:color w:val="000000"/>
          <w:sz w:val="24"/>
          <w:szCs w:val="24"/>
        </w:rPr>
      </w:pPr>
      <w:r w:rsidRPr="004A187D">
        <w:rPr>
          <w:rFonts w:ascii="Times New Roman" w:hAnsi="Times New Roman"/>
          <w:color w:val="000000"/>
          <w:sz w:val="24"/>
        </w:rPr>
        <w:t>Le dynamisme du secteur privé et la création d’emplois sont des conditions essentielles pour créer des sociétés stables et résilientes dans le voisinage méridional. Il existe une complémentarité réciproque avec les programmes purement nationaux dans la mesure où la coopération régionale offre une valeur ajoutée en pilotant, au niveau de la région, de nouvelles approches stratégiques fondées sur les bonnes pratiques de l’UE, en développant les connexions et les réseaux régionaux, en favorisant l’intégration économique entre les pays, et en établissant, in fine, une zone de libre-échange dans la région méditerranéenne, contribuant ainsi aux dialogues sectoriels concernés de l’UpM.</w:t>
      </w:r>
    </w:p>
    <w:p w:rsidR="0025532F" w:rsidRPr="004A187D" w:rsidRDefault="0025532F" w:rsidP="00810952">
      <w:pPr>
        <w:spacing w:after="60" w:line="240" w:lineRule="auto"/>
        <w:rPr>
          <w:rFonts w:ascii="Times New Roman" w:hAnsi="Times New Roman"/>
          <w:b/>
          <w:sz w:val="24"/>
        </w:rPr>
      </w:pPr>
      <w:r w:rsidRPr="004A187D">
        <w:rPr>
          <w:rFonts w:ascii="Times New Roman" w:hAnsi="Times New Roman"/>
          <w:b/>
          <w:sz w:val="24"/>
        </w:rPr>
        <w:t>Secteur nº 3: promotion de la connectivité et de l’utilisation durable des ressources naturelles</w:t>
      </w:r>
    </w:p>
    <w:p w:rsidR="0025532F" w:rsidRPr="004A187D" w:rsidRDefault="0025532F" w:rsidP="005F7363">
      <w:pPr>
        <w:spacing w:line="240" w:lineRule="auto"/>
        <w:jc w:val="both"/>
        <w:rPr>
          <w:rFonts w:ascii="Times New Roman" w:hAnsi="Times New Roman"/>
          <w:color w:val="000000"/>
          <w:sz w:val="24"/>
          <w:szCs w:val="24"/>
        </w:rPr>
      </w:pPr>
      <w:r w:rsidRPr="004A187D">
        <w:rPr>
          <w:rFonts w:ascii="Times New Roman" w:hAnsi="Times New Roman"/>
          <w:color w:val="000000"/>
          <w:sz w:val="24"/>
        </w:rPr>
        <w:t>L’environnement, l’action pour le climat, l’énergie durable et les transports sont des dimensions interconnectées du développement durable. Ils forment le noyau des programmes communs en cours d’élaboration dans le cadre de l’Union pour la Méditerranée.</w:t>
      </w:r>
    </w:p>
    <w:p w:rsidR="0025532F" w:rsidRPr="004A187D" w:rsidRDefault="0025532F" w:rsidP="00810952">
      <w:pPr>
        <w:spacing w:after="60" w:line="240" w:lineRule="auto"/>
        <w:rPr>
          <w:rFonts w:ascii="Times New Roman" w:hAnsi="Times New Roman"/>
          <w:b/>
          <w:sz w:val="24"/>
        </w:rPr>
      </w:pPr>
      <w:r w:rsidRPr="004A187D">
        <w:rPr>
          <w:rFonts w:ascii="Times New Roman" w:hAnsi="Times New Roman"/>
          <w:b/>
          <w:sz w:val="24"/>
        </w:rPr>
        <w:t>Secteur nº 4: soutien au développement des capacités/renforcement institutionnel des organismes régionaux</w:t>
      </w:r>
    </w:p>
    <w:p w:rsidR="0025532F" w:rsidRPr="004A187D" w:rsidRDefault="0025532F" w:rsidP="005F7363">
      <w:pPr>
        <w:jc w:val="both"/>
        <w:rPr>
          <w:rFonts w:ascii="Times New Roman" w:hAnsi="Times New Roman"/>
          <w:color w:val="000000"/>
          <w:sz w:val="24"/>
          <w:szCs w:val="24"/>
        </w:rPr>
      </w:pPr>
      <w:r w:rsidRPr="004A187D">
        <w:rPr>
          <w:rFonts w:ascii="Times New Roman" w:hAnsi="Times New Roman"/>
          <w:color w:val="000000"/>
          <w:sz w:val="24"/>
        </w:rPr>
        <w:t xml:space="preserve">Le voisinage méridional est, à de nombreux égards, la région la moins intégrée du monde. </w:t>
      </w:r>
    </w:p>
    <w:p w:rsidR="0025532F" w:rsidRPr="004A187D" w:rsidRDefault="0025532F" w:rsidP="00D436F1">
      <w:pPr>
        <w:rPr>
          <w:rFonts w:ascii="Times New Roman" w:hAnsi="Times New Roman"/>
          <w:b/>
          <w:sz w:val="24"/>
          <w:u w:val="single"/>
        </w:rPr>
      </w:pPr>
      <w:r w:rsidRPr="004A187D">
        <w:rPr>
          <w:rFonts w:ascii="Times New Roman" w:hAnsi="Times New Roman"/>
          <w:b/>
          <w:sz w:val="24"/>
          <w:u w:val="single"/>
        </w:rPr>
        <w:t>3. Soutien de l’UE par secteur</w:t>
      </w:r>
    </w:p>
    <w:p w:rsidR="0025532F" w:rsidRPr="004A187D" w:rsidRDefault="0025532F" w:rsidP="0052524A">
      <w:pPr>
        <w:spacing w:line="240" w:lineRule="auto"/>
        <w:jc w:val="both"/>
        <w:rPr>
          <w:rFonts w:ascii="Times New Roman" w:hAnsi="Times New Roman"/>
          <w:color w:val="000000"/>
          <w:sz w:val="24"/>
          <w:szCs w:val="24"/>
        </w:rPr>
      </w:pPr>
      <w:r w:rsidRPr="004A187D">
        <w:rPr>
          <w:rFonts w:ascii="Times New Roman" w:hAnsi="Times New Roman"/>
          <w:b/>
          <w:color w:val="000000"/>
          <w:sz w:val="24"/>
          <w:u w:val="single"/>
        </w:rPr>
        <w:t>Programmes régionaux</w:t>
      </w:r>
      <w:r w:rsidRPr="004A187D">
        <w:rPr>
          <w:rFonts w:ascii="Times New Roman" w:hAnsi="Times New Roman"/>
          <w:color w:val="000000"/>
          <w:sz w:val="24"/>
        </w:rPr>
        <w:t xml:space="preserve">: la coopération de l’UE sera mise en œuvre dans le cadre de programmes régionaux selon l'approche consistant à financer des programmes </w:t>
      </w:r>
      <w:r w:rsidRPr="004A187D">
        <w:rPr>
          <w:rFonts w:ascii="Times New Roman" w:hAnsi="Times New Roman"/>
          <w:b/>
          <w:color w:val="000000"/>
          <w:sz w:val="24"/>
        </w:rPr>
        <w:t>moins nombreux mais de plus grande taille</w:t>
      </w:r>
      <w:r w:rsidRPr="004A187D">
        <w:rPr>
          <w:rFonts w:ascii="Times New Roman" w:hAnsi="Times New Roman"/>
          <w:color w:val="000000"/>
          <w:sz w:val="24"/>
        </w:rPr>
        <w:t xml:space="preserve">, notamment au moyen des nouvelles initiatives concernant la </w:t>
      </w:r>
      <w:r w:rsidRPr="004A187D">
        <w:rPr>
          <w:rFonts w:ascii="Times New Roman" w:hAnsi="Times New Roman"/>
          <w:b/>
          <w:color w:val="000000"/>
          <w:sz w:val="24"/>
        </w:rPr>
        <w:t>marque «UE»</w:t>
      </w:r>
      <w:r w:rsidRPr="004A187D">
        <w:rPr>
          <w:rFonts w:ascii="Times New Roman" w:hAnsi="Times New Roman"/>
          <w:color w:val="000000"/>
          <w:sz w:val="24"/>
        </w:rPr>
        <w:t>, conformément aux priorités visées aux sections 3.1 et 3.4.</w:t>
      </w:r>
    </w:p>
    <w:p w:rsidR="0025532F" w:rsidRDefault="0025532F" w:rsidP="005F7363">
      <w:pPr>
        <w:spacing w:line="240" w:lineRule="auto"/>
        <w:jc w:val="both"/>
        <w:rPr>
          <w:rFonts w:ascii="Times New Roman" w:hAnsi="Times New Roman"/>
          <w:color w:val="000000"/>
          <w:sz w:val="24"/>
          <w:szCs w:val="24"/>
        </w:rPr>
      </w:pPr>
      <w:r w:rsidRPr="004A187D">
        <w:rPr>
          <w:rFonts w:ascii="Times New Roman" w:hAnsi="Times New Roman"/>
          <w:b/>
          <w:color w:val="000000"/>
          <w:sz w:val="24"/>
          <w:u w:val="single"/>
        </w:rPr>
        <w:t>Questions transversales</w:t>
      </w:r>
      <w:r w:rsidRPr="004A187D">
        <w:rPr>
          <w:rFonts w:ascii="Times New Roman" w:hAnsi="Times New Roman"/>
          <w:color w:val="000000"/>
          <w:sz w:val="24"/>
        </w:rPr>
        <w:t xml:space="preserve">: en plus d’être le bénéficiaire de programmes spécifiques, la </w:t>
      </w:r>
      <w:r w:rsidRPr="004A187D">
        <w:rPr>
          <w:rFonts w:ascii="Times New Roman" w:hAnsi="Times New Roman"/>
          <w:b/>
          <w:color w:val="000000"/>
          <w:sz w:val="24"/>
        </w:rPr>
        <w:t>société civile</w:t>
      </w:r>
      <w:r w:rsidRPr="004A187D">
        <w:rPr>
          <w:rFonts w:ascii="Times New Roman" w:hAnsi="Times New Roman"/>
          <w:color w:val="000000"/>
          <w:sz w:val="24"/>
        </w:rPr>
        <w:t xml:space="preserve"> sera un partenaire à part entière dans tous les secteurs; elle est reconnue comme un acteur important pour le développement et la gouvernance. L’</w:t>
      </w:r>
      <w:r w:rsidRPr="004A187D">
        <w:rPr>
          <w:rFonts w:ascii="Times New Roman" w:hAnsi="Times New Roman"/>
          <w:b/>
          <w:color w:val="000000"/>
          <w:sz w:val="24"/>
        </w:rPr>
        <w:t>égalité entre les femmes et les hommes</w:t>
      </w:r>
      <w:r w:rsidRPr="004A187D">
        <w:rPr>
          <w:rFonts w:ascii="Times New Roman" w:hAnsi="Times New Roman"/>
          <w:color w:val="000000"/>
          <w:sz w:val="24"/>
        </w:rPr>
        <w:t xml:space="preserve"> sera prise en compte dans tous les secteurs, l’accent étant mis, en particulier, sur l'accès et l'autonomisation des femmes et des filles. Une approche fondée sur les droits sera adoptée pour toutes les interventions.</w:t>
      </w:r>
      <w:r>
        <w:rPr>
          <w:rFonts w:ascii="Times New Roman" w:hAnsi="Times New Roman"/>
          <w:color w:val="000000"/>
          <w:sz w:val="24"/>
        </w:rPr>
        <w:t xml:space="preserve"> </w:t>
      </w:r>
    </w:p>
    <w:sectPr w:rsidR="0025532F" w:rsidSect="006E380F">
      <w:footerReference w:type="default" r:id="rId7"/>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32F" w:rsidRDefault="0025532F" w:rsidP="005D4689">
      <w:pPr>
        <w:spacing w:after="0" w:line="240" w:lineRule="auto"/>
      </w:pPr>
      <w:r>
        <w:separator/>
      </w:r>
    </w:p>
  </w:endnote>
  <w:endnote w:type="continuationSeparator" w:id="0">
    <w:p w:rsidR="0025532F" w:rsidRDefault="0025532F" w:rsidP="005D4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32F" w:rsidRDefault="0025532F">
    <w:pPr>
      <w:pStyle w:val="Footer"/>
      <w:jc w:val="center"/>
    </w:pPr>
    <w:fldSimple w:instr=" PAGE   \* MERGEFORMAT ">
      <w:r>
        <w:rPr>
          <w:noProof/>
        </w:rPr>
        <w:t>1</w:t>
      </w:r>
    </w:fldSimple>
  </w:p>
  <w:p w:rsidR="0025532F" w:rsidRDefault="002553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32F" w:rsidRDefault="0025532F" w:rsidP="005D4689">
      <w:pPr>
        <w:spacing w:after="0" w:line="240" w:lineRule="auto"/>
      </w:pPr>
      <w:r>
        <w:separator/>
      </w:r>
    </w:p>
  </w:footnote>
  <w:footnote w:type="continuationSeparator" w:id="0">
    <w:p w:rsidR="0025532F" w:rsidRDefault="0025532F" w:rsidP="005D4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00A"/>
    <w:multiLevelType w:val="hybridMultilevel"/>
    <w:tmpl w:val="3E7A3240"/>
    <w:lvl w:ilvl="0" w:tplc="F1D4EF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464DFB"/>
    <w:multiLevelType w:val="hybridMultilevel"/>
    <w:tmpl w:val="BE08EA58"/>
    <w:lvl w:ilvl="0" w:tplc="F1D4EF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202BDB"/>
    <w:multiLevelType w:val="hybridMultilevel"/>
    <w:tmpl w:val="5A724518"/>
    <w:lvl w:ilvl="0" w:tplc="F1D4EF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677C13"/>
    <w:rsid w:val="00040FA1"/>
    <w:rsid w:val="00041816"/>
    <w:rsid w:val="0005362B"/>
    <w:rsid w:val="0008621F"/>
    <w:rsid w:val="000C763C"/>
    <w:rsid w:val="001B246C"/>
    <w:rsid w:val="00217A4D"/>
    <w:rsid w:val="0025532F"/>
    <w:rsid w:val="002B1E91"/>
    <w:rsid w:val="002C325F"/>
    <w:rsid w:val="002F6D4E"/>
    <w:rsid w:val="00341034"/>
    <w:rsid w:val="00442A0B"/>
    <w:rsid w:val="004A187D"/>
    <w:rsid w:val="004C3913"/>
    <w:rsid w:val="0052524A"/>
    <w:rsid w:val="00533F59"/>
    <w:rsid w:val="00542AD0"/>
    <w:rsid w:val="0057636A"/>
    <w:rsid w:val="005A02C8"/>
    <w:rsid w:val="005B2D1F"/>
    <w:rsid w:val="005D4689"/>
    <w:rsid w:val="005F7363"/>
    <w:rsid w:val="005F7CBA"/>
    <w:rsid w:val="00606A67"/>
    <w:rsid w:val="00677C13"/>
    <w:rsid w:val="006E380F"/>
    <w:rsid w:val="00773619"/>
    <w:rsid w:val="00810952"/>
    <w:rsid w:val="00833EC5"/>
    <w:rsid w:val="0091576A"/>
    <w:rsid w:val="0099665F"/>
    <w:rsid w:val="009B1248"/>
    <w:rsid w:val="009D5250"/>
    <w:rsid w:val="00A11AA2"/>
    <w:rsid w:val="00AF0224"/>
    <w:rsid w:val="00B26589"/>
    <w:rsid w:val="00B43C87"/>
    <w:rsid w:val="00B82E25"/>
    <w:rsid w:val="00BA60D9"/>
    <w:rsid w:val="00BF354B"/>
    <w:rsid w:val="00C9708E"/>
    <w:rsid w:val="00D15B98"/>
    <w:rsid w:val="00D436F1"/>
    <w:rsid w:val="00D770A6"/>
    <w:rsid w:val="00D80C14"/>
    <w:rsid w:val="00DA76B6"/>
    <w:rsid w:val="00DE54FC"/>
    <w:rsid w:val="00E4465B"/>
    <w:rsid w:val="00EB67AF"/>
    <w:rsid w:val="00F11F34"/>
    <w:rsid w:val="00F2293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5F"/>
    <w:pPr>
      <w:spacing w:after="200" w:line="276" w:lineRule="auto"/>
    </w:pPr>
    <w:rPr>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68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D4689"/>
    <w:rPr>
      <w:rFonts w:cs="Times New Roman"/>
    </w:rPr>
  </w:style>
  <w:style w:type="paragraph" w:styleId="Footer">
    <w:name w:val="footer"/>
    <w:basedOn w:val="Normal"/>
    <w:link w:val="FooterChar"/>
    <w:uiPriority w:val="99"/>
    <w:rsid w:val="005D468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D4689"/>
    <w:rPr>
      <w:rFonts w:cs="Times New Roman"/>
    </w:rPr>
  </w:style>
  <w:style w:type="paragraph" w:styleId="ListParagraph">
    <w:name w:val="List Paragraph"/>
    <w:basedOn w:val="Normal"/>
    <w:uiPriority w:val="99"/>
    <w:qFormat/>
    <w:rsid w:val="00533F59"/>
    <w:pPr>
      <w:ind w:left="720"/>
      <w:contextualSpacing/>
    </w:pPr>
  </w:style>
  <w:style w:type="character" w:styleId="CommentReference">
    <w:name w:val="annotation reference"/>
    <w:basedOn w:val="DefaultParagraphFont"/>
    <w:uiPriority w:val="99"/>
    <w:semiHidden/>
    <w:rsid w:val="00341034"/>
    <w:rPr>
      <w:rFonts w:cs="Times New Roman"/>
      <w:sz w:val="16"/>
      <w:szCs w:val="16"/>
    </w:rPr>
  </w:style>
  <w:style w:type="paragraph" w:styleId="CommentText">
    <w:name w:val="annotation text"/>
    <w:basedOn w:val="Normal"/>
    <w:link w:val="CommentTextChar"/>
    <w:uiPriority w:val="99"/>
    <w:semiHidden/>
    <w:rsid w:val="0034103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C3913"/>
    <w:rPr>
      <w:rFonts w:cs="Times New Roman"/>
      <w:sz w:val="20"/>
      <w:szCs w:val="20"/>
    </w:rPr>
  </w:style>
  <w:style w:type="paragraph" w:styleId="CommentSubject">
    <w:name w:val="annotation subject"/>
    <w:basedOn w:val="CommentText"/>
    <w:next w:val="CommentText"/>
    <w:link w:val="CommentSubjectChar"/>
    <w:uiPriority w:val="99"/>
    <w:semiHidden/>
    <w:rsid w:val="004C3913"/>
    <w:rPr>
      <w:b/>
      <w:bCs/>
    </w:rPr>
  </w:style>
  <w:style w:type="character" w:customStyle="1" w:styleId="CommentSubjectChar">
    <w:name w:val="Comment Subject Char"/>
    <w:basedOn w:val="CommentTextChar"/>
    <w:link w:val="CommentSubject"/>
    <w:uiPriority w:val="99"/>
    <w:semiHidden/>
    <w:locked/>
    <w:rsid w:val="004C3913"/>
    <w:rPr>
      <w:b/>
      <w:bCs/>
    </w:rPr>
  </w:style>
  <w:style w:type="paragraph" w:styleId="BalloonText">
    <w:name w:val="Balloon Text"/>
    <w:basedOn w:val="Normal"/>
    <w:link w:val="BalloonTextChar"/>
    <w:uiPriority w:val="99"/>
    <w:semiHidden/>
    <w:rsid w:val="004C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39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643</Words>
  <Characters>3860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européen de voisinage</dc:title>
  <dc:subject/>
  <dc:creator>MODORAN Emma Herminia (EEAS)</dc:creator>
  <cp:keywords/>
  <dc:description/>
  <cp:lastModifiedBy>WPiA</cp:lastModifiedBy>
  <cp:revision>8</cp:revision>
  <dcterms:created xsi:type="dcterms:W3CDTF">2019-10-17T08:51:00Z</dcterms:created>
  <dcterms:modified xsi:type="dcterms:W3CDTF">2019-10-17T08:56:00Z</dcterms:modified>
</cp:coreProperties>
</file>